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0964" w14:textId="1A22E2CE" w:rsidR="008B1BF3" w:rsidRPr="008B1BF3" w:rsidRDefault="008B1BF3" w:rsidP="008B1BF3">
      <w:pPr>
        <w:rPr>
          <w:sz w:val="28"/>
          <w:szCs w:val="28"/>
        </w:rPr>
      </w:pPr>
      <w:r w:rsidRPr="008B1BF3">
        <w:rPr>
          <w:sz w:val="28"/>
          <w:szCs w:val="28"/>
        </w:rPr>
        <w:drawing>
          <wp:inline distT="0" distB="0" distL="0" distR="0" wp14:anchorId="1B56B057" wp14:editId="16AD870E">
            <wp:extent cx="4762500" cy="609600"/>
            <wp:effectExtent l="0" t="0" r="0" b="0"/>
            <wp:docPr id="1347246318" name="Picture 2" descr="Addiction">
              <a:hlinkClick xmlns:a="http://schemas.openxmlformats.org/drawingml/2006/main" r:id="rId4" tooltip="&quot;Addiction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banner-image" descr="Addiction">
                      <a:hlinkClick r:id="rId4" tooltip="&quot;Addiction home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09600"/>
                    </a:xfrm>
                    <a:prstGeom prst="rect">
                      <a:avLst/>
                    </a:prstGeom>
                    <a:noFill/>
                    <a:ln>
                      <a:noFill/>
                    </a:ln>
                  </pic:spPr>
                </pic:pic>
              </a:graphicData>
            </a:graphic>
          </wp:inline>
        </w:drawing>
      </w:r>
    </w:p>
    <w:p w14:paraId="4A3499AA" w14:textId="3FBAB452" w:rsidR="008B1BF3" w:rsidRPr="008B1BF3" w:rsidRDefault="008B1BF3" w:rsidP="008B1BF3">
      <w:pPr>
        <w:rPr>
          <w:sz w:val="28"/>
          <w:szCs w:val="28"/>
        </w:rPr>
      </w:pPr>
      <w:r w:rsidRPr="008B1BF3">
        <w:rPr>
          <w:sz w:val="28"/>
          <w:szCs w:val="28"/>
        </w:rPr>
        <w:t>RESEARCH REPORT</w:t>
      </w:r>
      <w:r w:rsidRPr="008B1BF3">
        <w:rPr>
          <w:sz w:val="28"/>
          <w:szCs w:val="28"/>
        </w:rPr>
        <w:t xml:space="preserve">: </w:t>
      </w:r>
      <w:r w:rsidRPr="008B1BF3">
        <w:rPr>
          <w:b/>
          <w:bCs/>
          <w:sz w:val="28"/>
          <w:szCs w:val="28"/>
        </w:rPr>
        <w:t xml:space="preserve">Alcohol initiation before age 15 predicts earlier hazardous drinking: A survival analysis of a 7-year prospective longitudinal cohort of Australian </w:t>
      </w:r>
      <w:proofErr w:type="gramStart"/>
      <w:r w:rsidRPr="008B1BF3">
        <w:rPr>
          <w:b/>
          <w:bCs/>
          <w:sz w:val="28"/>
          <w:szCs w:val="28"/>
        </w:rPr>
        <w:t>adolescents</w:t>
      </w:r>
      <w:proofErr w:type="gramEnd"/>
    </w:p>
    <w:p w14:paraId="63B31857" w14:textId="43E4A09A" w:rsidR="008B1BF3" w:rsidRPr="008B1BF3" w:rsidRDefault="008B1BF3" w:rsidP="008B1BF3">
      <w:r w:rsidRPr="008B1BF3">
        <w:t>First published: 05 November 2023</w:t>
      </w:r>
      <w:r>
        <w:t xml:space="preserve">  </w:t>
      </w:r>
      <w:hyperlink r:id="rId6" w:history="1">
        <w:r w:rsidRPr="008B1BF3">
          <w:rPr>
            <w:rStyle w:val="Hyperlink"/>
            <w:b/>
            <w:bCs/>
          </w:rPr>
          <w:t>https://doi.org/10.1111/add.16376</w:t>
        </w:r>
      </w:hyperlink>
    </w:p>
    <w:p w14:paraId="0BA32FC3" w14:textId="77777777" w:rsidR="008B1BF3" w:rsidRPr="008B1BF3" w:rsidRDefault="008B1BF3" w:rsidP="008B1BF3">
      <w:pPr>
        <w:rPr>
          <w:b/>
          <w:bCs/>
        </w:rPr>
      </w:pPr>
      <w:r w:rsidRPr="008B1BF3">
        <w:rPr>
          <w:b/>
          <w:bCs/>
        </w:rPr>
        <w:t>Abstract</w:t>
      </w:r>
    </w:p>
    <w:p w14:paraId="0E6C1460" w14:textId="77777777" w:rsidR="008B1BF3" w:rsidRPr="008B1BF3" w:rsidRDefault="008B1BF3" w:rsidP="008B1BF3">
      <w:pPr>
        <w:rPr>
          <w:b/>
          <w:bCs/>
          <w:sz w:val="24"/>
          <w:szCs w:val="24"/>
        </w:rPr>
      </w:pPr>
      <w:r w:rsidRPr="008B1BF3">
        <w:rPr>
          <w:b/>
          <w:bCs/>
          <w:sz w:val="24"/>
          <w:szCs w:val="24"/>
        </w:rPr>
        <w:t xml:space="preserve">Background and </w:t>
      </w:r>
      <w:proofErr w:type="gramStart"/>
      <w:r w:rsidRPr="008B1BF3">
        <w:rPr>
          <w:b/>
          <w:bCs/>
          <w:sz w:val="24"/>
          <w:szCs w:val="24"/>
        </w:rPr>
        <w:t>aims</w:t>
      </w:r>
      <w:proofErr w:type="gramEnd"/>
    </w:p>
    <w:p w14:paraId="635653C1" w14:textId="77777777" w:rsidR="008B1BF3" w:rsidRPr="008B1BF3" w:rsidRDefault="008B1BF3" w:rsidP="008B1BF3">
      <w:r w:rsidRPr="008B1BF3">
        <w:t xml:space="preserve">Early alcohol use may predict later alcohol problems, but the magnitude of this effect and impact of delayed onset </w:t>
      </w:r>
      <w:proofErr w:type="gramStart"/>
      <w:r w:rsidRPr="008B1BF3">
        <w:t>remain</w:t>
      </w:r>
      <w:proofErr w:type="gramEnd"/>
      <w:r w:rsidRPr="008B1BF3">
        <w:t xml:space="preserve"> uncertain. This study measured age-based differences in progression from first full alcoholic drink to hazardous drinking in one of the largest and most recent prospective cohorts of Australian adolescents.</w:t>
      </w:r>
    </w:p>
    <w:p w14:paraId="01D80BC0" w14:textId="77777777" w:rsidR="008B1BF3" w:rsidRPr="008B1BF3" w:rsidRDefault="008B1BF3" w:rsidP="008B1BF3">
      <w:pPr>
        <w:rPr>
          <w:b/>
          <w:bCs/>
          <w:sz w:val="24"/>
          <w:szCs w:val="24"/>
        </w:rPr>
      </w:pPr>
      <w:r w:rsidRPr="008B1BF3">
        <w:rPr>
          <w:b/>
          <w:bCs/>
          <w:sz w:val="24"/>
          <w:szCs w:val="24"/>
        </w:rPr>
        <w:t xml:space="preserve">Design, settings, </w:t>
      </w:r>
      <w:proofErr w:type="gramStart"/>
      <w:r w:rsidRPr="008B1BF3">
        <w:rPr>
          <w:b/>
          <w:bCs/>
          <w:sz w:val="24"/>
          <w:szCs w:val="24"/>
        </w:rPr>
        <w:t>participants</w:t>
      </w:r>
      <w:proofErr w:type="gramEnd"/>
      <w:r w:rsidRPr="008B1BF3">
        <w:rPr>
          <w:b/>
          <w:bCs/>
          <w:sz w:val="24"/>
          <w:szCs w:val="24"/>
        </w:rPr>
        <w:t xml:space="preserve"> and measurement</w:t>
      </w:r>
    </w:p>
    <w:p w14:paraId="58478929" w14:textId="77777777" w:rsidR="008B1BF3" w:rsidRPr="008B1BF3" w:rsidRDefault="008B1BF3" w:rsidP="008B1BF3">
      <w:r w:rsidRPr="008B1BF3">
        <w:t xml:space="preserve">A 7-year (2012–19) prospective longitudinal cohort of 2082 Australian adolescents was established from the Climate and </w:t>
      </w:r>
      <w:proofErr w:type="spellStart"/>
      <w:r w:rsidRPr="008B1BF3">
        <w:t>Preventure</w:t>
      </w:r>
      <w:proofErr w:type="spellEnd"/>
      <w:r w:rsidRPr="008B1BF3">
        <w:t xml:space="preserve"> (cohort 1) and Climate Schools Combined (cohort 2) studies. Participants completed surveys annually from ages 13 to 20 years. Interval censored survival analyses were conducted with first episode of hazardous drinking [three or more on proxy Alcohol Use Disorders Identification Test (AUDIT-C)] as the survival </w:t>
      </w:r>
      <w:proofErr w:type="gramStart"/>
      <w:r w:rsidRPr="008B1BF3">
        <w:t>end-point</w:t>
      </w:r>
      <w:proofErr w:type="gramEnd"/>
      <w:r w:rsidRPr="008B1BF3">
        <w:t>, controlling for age, sex and mental health symptomatology. Onset of hazardous drinking was expressed as hazard ratios (HRs), and median survival time (years) was used to model first onset of hazardous alcohol use in survival curves.</w:t>
      </w:r>
    </w:p>
    <w:p w14:paraId="192456B5" w14:textId="716F8C36" w:rsidR="008B1BF3" w:rsidRPr="008B1BF3" w:rsidRDefault="008B1BF3" w:rsidP="008B1BF3">
      <w:pPr>
        <w:rPr>
          <w:b/>
          <w:bCs/>
          <w:sz w:val="24"/>
          <w:szCs w:val="24"/>
        </w:rPr>
      </w:pPr>
      <w:r w:rsidRPr="008B1BF3">
        <w:rPr>
          <w:b/>
          <w:bCs/>
          <w:sz w:val="24"/>
          <w:szCs w:val="24"/>
        </w:rPr>
        <w:t>Findings</w:t>
      </w:r>
      <w:r>
        <w:rPr>
          <w:b/>
          <w:bCs/>
          <w:sz w:val="24"/>
          <w:szCs w:val="24"/>
        </w:rPr>
        <w:t xml:space="preserve">: </w:t>
      </w:r>
      <w:r w:rsidRPr="008B1BF3">
        <w:t>Compared with those aged 15 or older, those who had their first full drink at 12 or younger had significantly elevated risk of hazardous drinking onset during the study period [log (HR): 9.3; 95% confidence interval (CI) = 7.0–12.0, </w:t>
      </w:r>
      <w:r w:rsidRPr="008B1BF3">
        <w:rPr>
          <w:i/>
          <w:iCs/>
        </w:rPr>
        <w:t>P</w:t>
      </w:r>
      <w:r w:rsidRPr="008B1BF3">
        <w:t> &lt; 0.001]. Compared with those who had their first full drink at ages 13–14, those who delayed until 15 or older had significantly later onset of hazardous drinking; 1.63 years for males (95% CI = 1.31–1.92, </w:t>
      </w:r>
      <w:r w:rsidRPr="008B1BF3">
        <w:rPr>
          <w:i/>
          <w:iCs/>
        </w:rPr>
        <w:t>P</w:t>
      </w:r>
      <w:r w:rsidRPr="008B1BF3">
        <w:t> &lt; 0.001) and 1.50 for females (95% CI = 1.15–1.81, </w:t>
      </w:r>
      <w:r w:rsidRPr="008B1BF3">
        <w:rPr>
          <w:i/>
          <w:iCs/>
        </w:rPr>
        <w:t>P</w:t>
      </w:r>
      <w:r w:rsidRPr="008B1BF3">
        <w:t> &lt; 0.001), resulting in a median age of onset of hazardous drinking of &gt; 19 for both sexes (male: 19.05 years, 95% CI = 18.74–19.38; female: 19.47 years, 95% CI = 19.19–19.75). First drink at ages 13–14 was associated with the earliest onset of hazardous drinking (males: 17.43 years; females: 17.98 years).</w:t>
      </w:r>
    </w:p>
    <w:p w14:paraId="20BBE9E1" w14:textId="4852571C" w:rsidR="008B1BF3" w:rsidRDefault="008B1BF3" w:rsidP="008B1BF3">
      <w:r w:rsidRPr="008B1BF3">
        <w:rPr>
          <w:b/>
          <w:bCs/>
          <w:sz w:val="24"/>
          <w:szCs w:val="24"/>
        </w:rPr>
        <w:t>Conclusions</w:t>
      </w:r>
      <w:r w:rsidRPr="008B1BF3">
        <w:rPr>
          <w:b/>
          <w:bCs/>
          <w:sz w:val="24"/>
          <w:szCs w:val="24"/>
        </w:rPr>
        <w:t>:</w:t>
      </w:r>
      <w:r>
        <w:rPr>
          <w:b/>
          <w:bCs/>
          <w:sz w:val="24"/>
          <w:szCs w:val="24"/>
        </w:rPr>
        <w:t xml:space="preserve"> </w:t>
      </w:r>
      <w:r w:rsidRPr="008B1BF3">
        <w:t>In Australia, alcohol initiation prior to age 15 appears to be associated with an earlier onset of hazardous drinking than initiation after age 15.</w:t>
      </w:r>
    </w:p>
    <w:p w14:paraId="7002EA1F" w14:textId="30501664" w:rsidR="008B1BF3" w:rsidRPr="008B1BF3" w:rsidRDefault="008B1BF3" w:rsidP="008B1BF3">
      <w:pPr>
        <w:rPr>
          <w:b/>
          <w:bCs/>
          <w:sz w:val="24"/>
          <w:szCs w:val="24"/>
        </w:rPr>
      </w:pPr>
      <w:r>
        <w:t xml:space="preserve">For complete research </w:t>
      </w:r>
      <w:hyperlink r:id="rId7" w:history="1">
        <w:r w:rsidRPr="001056F5">
          <w:rPr>
            <w:rStyle w:val="Hyperlink"/>
          </w:rPr>
          <w:t>https://onlinelibrary.wiley.com/doi/full/10.1111/add.16376</w:t>
        </w:r>
      </w:hyperlink>
      <w:r>
        <w:t xml:space="preserve"> </w:t>
      </w:r>
    </w:p>
    <w:p w14:paraId="0B2E9E54" w14:textId="77777777" w:rsidR="00BA0BE1" w:rsidRDefault="00BA0BE1"/>
    <w:sectPr w:rsidR="00BA0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F3"/>
    <w:rsid w:val="008B1BF3"/>
    <w:rsid w:val="009244A4"/>
    <w:rsid w:val="00BA0BE1"/>
    <w:rsid w:val="00E96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0F54"/>
  <w15:chartTrackingRefBased/>
  <w15:docId w15:val="{172C4CA6-61A8-449F-8E3F-5D3D20E2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BF3"/>
    <w:rPr>
      <w:color w:val="0563C1" w:themeColor="hyperlink"/>
      <w:u w:val="single"/>
    </w:rPr>
  </w:style>
  <w:style w:type="character" w:styleId="UnresolvedMention">
    <w:name w:val="Unresolved Mention"/>
    <w:basedOn w:val="DefaultParagraphFont"/>
    <w:uiPriority w:val="99"/>
    <w:semiHidden/>
    <w:unhideWhenUsed/>
    <w:rsid w:val="008B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06316">
      <w:bodyDiv w:val="1"/>
      <w:marLeft w:val="0"/>
      <w:marRight w:val="0"/>
      <w:marTop w:val="0"/>
      <w:marBottom w:val="0"/>
      <w:divBdr>
        <w:top w:val="none" w:sz="0" w:space="0" w:color="auto"/>
        <w:left w:val="none" w:sz="0" w:space="0" w:color="auto"/>
        <w:bottom w:val="none" w:sz="0" w:space="0" w:color="auto"/>
        <w:right w:val="none" w:sz="0" w:space="0" w:color="auto"/>
      </w:divBdr>
      <w:divsChild>
        <w:div w:id="1638223175">
          <w:marLeft w:val="0"/>
          <w:marRight w:val="0"/>
          <w:marTop w:val="0"/>
          <w:marBottom w:val="0"/>
          <w:divBdr>
            <w:top w:val="none" w:sz="0" w:space="0" w:color="auto"/>
            <w:left w:val="none" w:sz="0" w:space="0" w:color="auto"/>
            <w:bottom w:val="none" w:sz="0" w:space="0" w:color="auto"/>
            <w:right w:val="none" w:sz="0" w:space="0" w:color="auto"/>
          </w:divBdr>
          <w:divsChild>
            <w:div w:id="772701499">
              <w:marLeft w:val="0"/>
              <w:marRight w:val="0"/>
              <w:marTop w:val="0"/>
              <w:marBottom w:val="0"/>
              <w:divBdr>
                <w:top w:val="none" w:sz="0" w:space="0" w:color="auto"/>
                <w:left w:val="none" w:sz="0" w:space="0" w:color="auto"/>
                <w:bottom w:val="none" w:sz="0" w:space="0" w:color="auto"/>
                <w:right w:val="none" w:sz="0" w:space="0" w:color="auto"/>
              </w:divBdr>
              <w:divsChild>
                <w:div w:id="1869220093">
                  <w:marLeft w:val="0"/>
                  <w:marRight w:val="0"/>
                  <w:marTop w:val="0"/>
                  <w:marBottom w:val="0"/>
                  <w:divBdr>
                    <w:top w:val="none" w:sz="0" w:space="0" w:color="auto"/>
                    <w:left w:val="none" w:sz="0" w:space="0" w:color="auto"/>
                    <w:bottom w:val="none" w:sz="0" w:space="0" w:color="auto"/>
                    <w:right w:val="none" w:sz="0" w:space="0" w:color="auto"/>
                  </w:divBdr>
                  <w:divsChild>
                    <w:div w:id="763570992">
                      <w:marLeft w:val="0"/>
                      <w:marRight w:val="0"/>
                      <w:marTop w:val="0"/>
                      <w:marBottom w:val="0"/>
                      <w:divBdr>
                        <w:top w:val="none" w:sz="0" w:space="0" w:color="auto"/>
                        <w:left w:val="none" w:sz="0" w:space="0" w:color="auto"/>
                        <w:bottom w:val="none" w:sz="0" w:space="0" w:color="auto"/>
                        <w:right w:val="none" w:sz="0" w:space="0" w:color="auto"/>
                      </w:divBdr>
                    </w:div>
                  </w:divsChild>
                </w:div>
                <w:div w:id="1886988277">
                  <w:marLeft w:val="0"/>
                  <w:marRight w:val="0"/>
                  <w:marTop w:val="0"/>
                  <w:marBottom w:val="0"/>
                  <w:divBdr>
                    <w:top w:val="none" w:sz="0" w:space="0" w:color="auto"/>
                    <w:left w:val="none" w:sz="0" w:space="0" w:color="auto"/>
                    <w:bottom w:val="none" w:sz="0" w:space="0" w:color="auto"/>
                    <w:right w:val="none" w:sz="0" w:space="0" w:color="auto"/>
                  </w:divBdr>
                  <w:divsChild>
                    <w:div w:id="1468863052">
                      <w:marLeft w:val="0"/>
                      <w:marRight w:val="0"/>
                      <w:marTop w:val="0"/>
                      <w:marBottom w:val="0"/>
                      <w:divBdr>
                        <w:top w:val="none" w:sz="0" w:space="0" w:color="auto"/>
                        <w:left w:val="single" w:sz="6" w:space="0" w:color="D8D9DA"/>
                        <w:bottom w:val="none" w:sz="0" w:space="0" w:color="auto"/>
                        <w:right w:val="none" w:sz="0" w:space="0" w:color="auto"/>
                      </w:divBdr>
                      <w:divsChild>
                        <w:div w:id="1153058716">
                          <w:marLeft w:val="0"/>
                          <w:marRight w:val="0"/>
                          <w:marTop w:val="0"/>
                          <w:marBottom w:val="0"/>
                          <w:divBdr>
                            <w:top w:val="none" w:sz="0" w:space="0" w:color="auto"/>
                            <w:left w:val="none" w:sz="0" w:space="0" w:color="auto"/>
                            <w:bottom w:val="none" w:sz="0" w:space="0" w:color="auto"/>
                            <w:right w:val="none" w:sz="0" w:space="0" w:color="auto"/>
                          </w:divBdr>
                          <w:divsChild>
                            <w:div w:id="13124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30839">
                  <w:marLeft w:val="0"/>
                  <w:marRight w:val="0"/>
                  <w:marTop w:val="0"/>
                  <w:marBottom w:val="0"/>
                  <w:divBdr>
                    <w:top w:val="none" w:sz="0" w:space="0" w:color="auto"/>
                    <w:left w:val="none" w:sz="0" w:space="0" w:color="auto"/>
                    <w:bottom w:val="none" w:sz="0" w:space="0" w:color="auto"/>
                    <w:right w:val="none" w:sz="0" w:space="0" w:color="auto"/>
                  </w:divBdr>
                  <w:divsChild>
                    <w:div w:id="165248102">
                      <w:marLeft w:val="0"/>
                      <w:marRight w:val="0"/>
                      <w:marTop w:val="0"/>
                      <w:marBottom w:val="0"/>
                      <w:divBdr>
                        <w:top w:val="none" w:sz="0" w:space="0" w:color="auto"/>
                        <w:left w:val="none" w:sz="0" w:space="0" w:color="auto"/>
                        <w:bottom w:val="none" w:sz="0" w:space="0" w:color="auto"/>
                        <w:right w:val="none" w:sz="0" w:space="0" w:color="auto"/>
                      </w:divBdr>
                      <w:divsChild>
                        <w:div w:id="2019916625">
                          <w:marLeft w:val="0"/>
                          <w:marRight w:val="0"/>
                          <w:marTop w:val="0"/>
                          <w:marBottom w:val="0"/>
                          <w:divBdr>
                            <w:top w:val="none" w:sz="0" w:space="0" w:color="auto"/>
                            <w:left w:val="none" w:sz="0" w:space="0" w:color="auto"/>
                            <w:bottom w:val="none" w:sz="0" w:space="0" w:color="auto"/>
                            <w:right w:val="none" w:sz="0" w:space="0" w:color="auto"/>
                          </w:divBdr>
                          <w:divsChild>
                            <w:div w:id="21453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2562">
                  <w:marLeft w:val="0"/>
                  <w:marRight w:val="0"/>
                  <w:marTop w:val="0"/>
                  <w:marBottom w:val="0"/>
                  <w:divBdr>
                    <w:top w:val="none" w:sz="0" w:space="0" w:color="auto"/>
                    <w:left w:val="none" w:sz="0" w:space="0" w:color="auto"/>
                    <w:bottom w:val="none" w:sz="0" w:space="0" w:color="auto"/>
                    <w:right w:val="none" w:sz="0" w:space="0" w:color="auto"/>
                  </w:divBdr>
                  <w:divsChild>
                    <w:div w:id="1597784437">
                      <w:marLeft w:val="0"/>
                      <w:marRight w:val="0"/>
                      <w:marTop w:val="0"/>
                      <w:marBottom w:val="0"/>
                      <w:divBdr>
                        <w:top w:val="none" w:sz="0" w:space="0" w:color="auto"/>
                        <w:left w:val="none" w:sz="0" w:space="0" w:color="auto"/>
                        <w:bottom w:val="none" w:sz="0" w:space="0" w:color="auto"/>
                        <w:right w:val="none" w:sz="0" w:space="0" w:color="auto"/>
                      </w:divBdr>
                    </w:div>
                    <w:div w:id="9145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0232">
          <w:marLeft w:val="0"/>
          <w:marRight w:val="0"/>
          <w:marTop w:val="0"/>
          <w:marBottom w:val="0"/>
          <w:divBdr>
            <w:top w:val="none" w:sz="0" w:space="0" w:color="auto"/>
            <w:left w:val="none" w:sz="0" w:space="0" w:color="auto"/>
            <w:bottom w:val="none" w:sz="0" w:space="0" w:color="auto"/>
            <w:right w:val="none" w:sz="0" w:space="0" w:color="auto"/>
          </w:divBdr>
          <w:divsChild>
            <w:div w:id="1602565422">
              <w:marLeft w:val="0"/>
              <w:marRight w:val="0"/>
              <w:marTop w:val="0"/>
              <w:marBottom w:val="0"/>
              <w:divBdr>
                <w:top w:val="none" w:sz="0" w:space="0" w:color="auto"/>
                <w:left w:val="none" w:sz="0" w:space="0" w:color="auto"/>
                <w:bottom w:val="single" w:sz="12" w:space="0" w:color="D8D9DA"/>
                <w:right w:val="none" w:sz="0" w:space="0" w:color="auto"/>
              </w:divBdr>
              <w:divsChild>
                <w:div w:id="86198976">
                  <w:marLeft w:val="0"/>
                  <w:marRight w:val="0"/>
                  <w:marTop w:val="0"/>
                  <w:marBottom w:val="0"/>
                  <w:divBdr>
                    <w:top w:val="none" w:sz="0" w:space="0" w:color="auto"/>
                    <w:left w:val="none" w:sz="0" w:space="0" w:color="auto"/>
                    <w:bottom w:val="none" w:sz="0" w:space="0" w:color="auto"/>
                    <w:right w:val="none" w:sz="0" w:space="0" w:color="auto"/>
                  </w:divBdr>
                  <w:divsChild>
                    <w:div w:id="969894916">
                      <w:marLeft w:val="0"/>
                      <w:marRight w:val="0"/>
                      <w:marTop w:val="0"/>
                      <w:marBottom w:val="0"/>
                      <w:divBdr>
                        <w:top w:val="none" w:sz="0" w:space="0" w:color="auto"/>
                        <w:left w:val="none" w:sz="0" w:space="0" w:color="auto"/>
                        <w:bottom w:val="none" w:sz="0" w:space="0" w:color="auto"/>
                        <w:right w:val="none" w:sz="0" w:space="0" w:color="auto"/>
                      </w:divBdr>
                    </w:div>
                  </w:divsChild>
                </w:div>
                <w:div w:id="1112281512">
                  <w:marLeft w:val="0"/>
                  <w:marRight w:val="0"/>
                  <w:marTop w:val="0"/>
                  <w:marBottom w:val="0"/>
                  <w:divBdr>
                    <w:top w:val="none" w:sz="0" w:space="0" w:color="auto"/>
                    <w:left w:val="none" w:sz="0" w:space="0" w:color="auto"/>
                    <w:bottom w:val="none" w:sz="0" w:space="0" w:color="auto"/>
                    <w:right w:val="none" w:sz="0" w:space="0" w:color="auto"/>
                  </w:divBdr>
                  <w:divsChild>
                    <w:div w:id="1340473851">
                      <w:marLeft w:val="0"/>
                      <w:marRight w:val="0"/>
                      <w:marTop w:val="0"/>
                      <w:marBottom w:val="0"/>
                      <w:divBdr>
                        <w:top w:val="none" w:sz="0" w:space="0" w:color="auto"/>
                        <w:left w:val="none" w:sz="0" w:space="0" w:color="auto"/>
                        <w:bottom w:val="none" w:sz="0" w:space="0" w:color="auto"/>
                        <w:right w:val="none" w:sz="0" w:space="0" w:color="auto"/>
                      </w:divBdr>
                    </w:div>
                    <w:div w:id="2026980497">
                      <w:marLeft w:val="0"/>
                      <w:marRight w:val="0"/>
                      <w:marTop w:val="0"/>
                      <w:marBottom w:val="0"/>
                      <w:divBdr>
                        <w:top w:val="none" w:sz="0" w:space="0" w:color="auto"/>
                        <w:left w:val="none" w:sz="0" w:space="0" w:color="auto"/>
                        <w:bottom w:val="none" w:sz="0" w:space="0" w:color="auto"/>
                        <w:right w:val="none" w:sz="0" w:space="0" w:color="auto"/>
                      </w:divBdr>
                    </w:div>
                    <w:div w:id="21451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4119">
          <w:marLeft w:val="0"/>
          <w:marRight w:val="0"/>
          <w:marTop w:val="0"/>
          <w:marBottom w:val="0"/>
          <w:divBdr>
            <w:top w:val="none" w:sz="0" w:space="0" w:color="auto"/>
            <w:left w:val="none" w:sz="0" w:space="0" w:color="auto"/>
            <w:bottom w:val="none" w:sz="0" w:space="0" w:color="auto"/>
            <w:right w:val="none" w:sz="0" w:space="0" w:color="auto"/>
          </w:divBdr>
          <w:divsChild>
            <w:div w:id="608395894">
              <w:marLeft w:val="0"/>
              <w:marRight w:val="0"/>
              <w:marTop w:val="0"/>
              <w:marBottom w:val="0"/>
              <w:divBdr>
                <w:top w:val="none" w:sz="0" w:space="0" w:color="auto"/>
                <w:left w:val="none" w:sz="0" w:space="0" w:color="auto"/>
                <w:bottom w:val="none" w:sz="0" w:space="0" w:color="auto"/>
                <w:right w:val="none" w:sz="0" w:space="0" w:color="auto"/>
              </w:divBdr>
              <w:divsChild>
                <w:div w:id="17261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library.wiley.com/doi/full/10.1111/add.163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add.16376" TargetMode="External"/><Relationship Id="rId5" Type="http://schemas.openxmlformats.org/officeDocument/2006/relationships/image" Target="media/image1.jpeg"/><Relationship Id="rId4" Type="http://schemas.openxmlformats.org/officeDocument/2006/relationships/hyperlink" Target="https://onlinelibrary.wiley.com/journal/1360044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Varcoe</dc:creator>
  <cp:keywords/>
  <dc:description/>
  <cp:lastModifiedBy>Shane Varcoe</cp:lastModifiedBy>
  <cp:revision>1</cp:revision>
  <dcterms:created xsi:type="dcterms:W3CDTF">2023-11-07T23:51:00Z</dcterms:created>
  <dcterms:modified xsi:type="dcterms:W3CDTF">2023-11-08T01:26:00Z</dcterms:modified>
</cp:coreProperties>
</file>